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72" w:rsidRPr="003C5C72" w:rsidRDefault="003C5C72" w:rsidP="003C5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sz w:val="24"/>
          <w:szCs w:val="24"/>
          <w:lang w:eastAsia="pt-BR"/>
        </w:rPr>
        <w:t>D.O.E.: 14/12/1990</w:t>
      </w:r>
      <w:bookmarkStart w:id="0" w:name="_GoBack"/>
      <w:bookmarkEnd w:id="0"/>
    </w:p>
    <w:p w:rsidR="003C5C72" w:rsidRPr="003C5C72" w:rsidRDefault="003C5C72" w:rsidP="003C5C72">
      <w:pPr>
        <w:spacing w:after="0" w:line="36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A5B7"/>
          <w:kern w:val="36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b/>
          <w:bCs/>
          <w:color w:val="00A5B7"/>
          <w:kern w:val="36"/>
          <w:sz w:val="24"/>
          <w:szCs w:val="24"/>
          <w:lang w:eastAsia="pt-BR"/>
        </w:rPr>
        <w:t xml:space="preserve">RESOLUÇÃO </w:t>
      </w:r>
      <w:proofErr w:type="spellStart"/>
      <w:r w:rsidRPr="003C5C72">
        <w:rPr>
          <w:rFonts w:ascii="Arial" w:eastAsia="Times New Roman" w:hAnsi="Arial" w:cs="Arial"/>
          <w:b/>
          <w:bCs/>
          <w:color w:val="00A5B7"/>
          <w:kern w:val="36"/>
          <w:sz w:val="24"/>
          <w:szCs w:val="24"/>
          <w:lang w:eastAsia="pt-BR"/>
        </w:rPr>
        <w:t>CoG</w:t>
      </w:r>
      <w:proofErr w:type="spellEnd"/>
      <w:r w:rsidRPr="003C5C72">
        <w:rPr>
          <w:rFonts w:ascii="Arial" w:eastAsia="Times New Roman" w:hAnsi="Arial" w:cs="Arial"/>
          <w:b/>
          <w:bCs/>
          <w:color w:val="00A5B7"/>
          <w:kern w:val="36"/>
          <w:sz w:val="24"/>
          <w:szCs w:val="24"/>
          <w:lang w:eastAsia="pt-BR"/>
        </w:rPr>
        <w:t xml:space="preserve"> Nº 3757, DE 13 DE DEZEMBRO DE 1990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i/>
          <w:iCs/>
          <w:color w:val="373737"/>
          <w:sz w:val="24"/>
          <w:szCs w:val="24"/>
          <w:bdr w:val="none" w:sz="0" w:space="0" w:color="auto" w:frame="1"/>
          <w:lang w:eastAsia="pt-BR"/>
        </w:rPr>
        <w:t>(Retificada em 15.12.90)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i/>
          <w:iCs/>
          <w:color w:val="373737"/>
          <w:sz w:val="24"/>
          <w:szCs w:val="24"/>
          <w:bdr w:val="none" w:sz="0" w:space="0" w:color="auto" w:frame="1"/>
          <w:lang w:eastAsia="pt-BR"/>
        </w:rPr>
        <w:t>(Revoga a Resolução 201/1973)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Dispõe sobre a admissão de estudante especial em disciplinas isoladas dos cursos de graduação.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O PRÓ-REITOR DE GRADUAÇÃO DA UNIVERSIDADE DE SÃO PAULO, considerando o disposto nos </w:t>
      </w:r>
      <w:hyperlink r:id="rId4" w:anchor="a204" w:history="1">
        <w:r w:rsidRPr="003C5C72">
          <w:rPr>
            <w:rFonts w:ascii="Arial" w:eastAsia="Times New Roman" w:hAnsi="Arial" w:cs="Arial"/>
            <w:color w:val="1982D1"/>
            <w:sz w:val="24"/>
            <w:szCs w:val="24"/>
            <w:u w:val="single"/>
            <w:bdr w:val="none" w:sz="0" w:space="0" w:color="auto" w:frame="1"/>
            <w:lang w:eastAsia="pt-BR"/>
          </w:rPr>
          <w:t>artigos 204 a 207</w:t>
        </w:r>
      </w:hyperlink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 do Regimento Geral, e tendo em vista o deliberado pela Comissão de Legislação e Recursos em Sessão de 19.11.90 e pelo Conselho de Graduação em Sessão de 12.12.90, baixa a seguinte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RESOLUÇÃO: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1" w:name="a1"/>
      <w:bookmarkEnd w:id="1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1º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– Estudante especial é o matriculado em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disciplina(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s) isolada(s) dos cursos de graduação, com vistas à obtenção de certificado de aprovação em disciplina.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§1º – O estudante especial deverá ser portador de certificado de conclusão do Segundo Grau, ou equivalente, e respectivo histórico escolar, excetuando-se os casos previstos no parágrafo único do </w:t>
      </w:r>
      <w:hyperlink r:id="rId5" w:anchor="a205" w:history="1">
        <w:r w:rsidRPr="003C5C72">
          <w:rPr>
            <w:rFonts w:ascii="Arial" w:eastAsia="Times New Roman" w:hAnsi="Arial" w:cs="Arial"/>
            <w:color w:val="1982D1"/>
            <w:sz w:val="24"/>
            <w:szCs w:val="24"/>
            <w:u w:val="single"/>
            <w:bdr w:val="none" w:sz="0" w:space="0" w:color="auto" w:frame="1"/>
            <w:lang w:eastAsia="pt-BR"/>
          </w:rPr>
          <w:t>artigo 205 </w:t>
        </w:r>
      </w:hyperlink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do Regimento Geral.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§2º – É vedado ao aluno regular da USP a inscrição na categoria de estudante especial.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2" w:name="a2"/>
      <w:bookmarkEnd w:id="2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2º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O estudante especial estará sujeito às mesmas normas que o aluno regular.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§1º – Dada a peculiaridade do estudante especial, excetua-se o direito a trancamento parcial e total de matrícula.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§2º – O estudante especial reprovado poderá pleitear nova inscrição no período letivo em que a disciplina for novamente ministrada.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3" w:name="a3"/>
      <w:bookmarkEnd w:id="3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3º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O interessado em ingressar como aluno especial deverá apresentar requerimento devidamente justificado, junto à Unidade Universitária que ministra a disciplina, no prazo estabelecido no Calendário Escolar.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4" w:name="a4"/>
      <w:bookmarkEnd w:id="4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4º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Os critérios de admissão e seleção de estudante especial serão estabelecidos em cada Unidade Universitária pela Comissão de Graduação.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5" w:name="a5"/>
      <w:bookmarkEnd w:id="5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5º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Do aluno aceito na categoria de estudante especial será exigido: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cópia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do documento de identidade;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quando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estrangeiro, cópia do passaporte com visto temporário, devidamente atualizado ou, se for o caso, cópia da carteira de identidade para estrangeiro;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III – cópia do certificado de conclusão do Segundo Grau ou equivalente, exceto nos casos previstos no parágrafo único do </w:t>
      </w:r>
      <w:hyperlink r:id="rId6" w:anchor="a205" w:history="1">
        <w:r w:rsidRPr="003C5C72">
          <w:rPr>
            <w:rFonts w:ascii="Arial" w:eastAsia="Times New Roman" w:hAnsi="Arial" w:cs="Arial"/>
            <w:color w:val="1982D1"/>
            <w:sz w:val="24"/>
            <w:szCs w:val="24"/>
            <w:u w:val="single"/>
            <w:bdr w:val="none" w:sz="0" w:space="0" w:color="auto" w:frame="1"/>
            <w:lang w:eastAsia="pt-BR"/>
          </w:rPr>
          <w:t>artigo 205</w:t>
        </w:r>
      </w:hyperlink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 do Regimento Geral;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IV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demais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documentos que a Unidade Universitária julgar convenientes.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lastRenderedPageBreak/>
        <w:t xml:space="preserve">Parágrafo único – A apresentação dos documentos mencionados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nos inciso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I, II e III deverá estar acompanhada dos respectivos originais.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6" w:name="a6"/>
      <w:bookmarkEnd w:id="6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6º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Ao estudante especial será conferido certificado de aprovação, expedido pela Unidade Universitária, devendo conter os seguintes dados: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código e nome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da disciplina, indicando que foi ministrada em nível de graduação;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ano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e respectivo período letivo;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III – </w:t>
      </w:r>
      <w:proofErr w:type="spell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freqüência</w:t>
      </w:r>
      <w:proofErr w:type="spell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e nota obtidas;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IV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número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de créditos (aula e trabalho), com a respectiva carga horária;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V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programa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completo da disciplina, em forma de anexo.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§1º – Para os fins indicados neste artigo as Unidades Universitárias organizarão um prontuário para cada estudante especial.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§2º – O certificado de estudante especial poderá ser assinado pelo Diretor da respectiva Unidade Universitária ou Assistente Técnico para Assuntos Acadêmicos.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7" w:name="a7"/>
      <w:bookmarkEnd w:id="7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7º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A passagem do estudante especial para a categoria de aluno regular verificar-se-á nas seguintes hipóteses de ingresso: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por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vestibular;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II – </w:t>
      </w:r>
      <w:proofErr w:type="gramStart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por</w:t>
      </w:r>
      <w:proofErr w:type="gramEnd"/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transferência;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III – como graduado de nível superior.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Parágrafo único – Os créditos das disciplinas cursadas na categoria de estudante especial poderão ser utilizados, observando-se as normas vigentes sobre aproveitamento de estudos.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8" w:name="a8"/>
      <w:bookmarkEnd w:id="8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8º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Os casos omissos serão resolvidos pelo Conselho de Graduação, ouvida a respectiva Comissão de Graduação.</w:t>
      </w:r>
    </w:p>
    <w:p w:rsidR="003C5C72" w:rsidRPr="003C5C72" w:rsidRDefault="003C5C72" w:rsidP="003C5C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bookmarkStart w:id="9" w:name="a9"/>
      <w:bookmarkEnd w:id="9"/>
      <w:r w:rsidRPr="003C5C72"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  <w:t>Artigo 9º 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– Esta Resolução entrará em vigor na data de sua publicação, revogando-se a Resolução nº 201, de 20 de junho de 1973. (Processo 90.1.47945.1.1).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CELSO DE RUI BEISIEGEL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br/>
        <w:t>Pró-Reitor de Graduação</w:t>
      </w:r>
    </w:p>
    <w:p w:rsidR="003C5C72" w:rsidRPr="003C5C72" w:rsidRDefault="003C5C72" w:rsidP="003C5C72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LOR CURY</w:t>
      </w:r>
      <w:r w:rsidRPr="003C5C72">
        <w:rPr>
          <w:rFonts w:ascii="Arial" w:eastAsia="Times New Roman" w:hAnsi="Arial" w:cs="Arial"/>
          <w:color w:val="373737"/>
          <w:sz w:val="24"/>
          <w:szCs w:val="24"/>
          <w:lang w:eastAsia="pt-BR"/>
        </w:rPr>
        <w:br/>
        <w:t>Secretária Geral</w:t>
      </w:r>
    </w:p>
    <w:p w:rsidR="00B252A0" w:rsidRDefault="00B252A0"/>
    <w:sectPr w:rsidR="00B25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2"/>
    <w:rsid w:val="003C5C72"/>
    <w:rsid w:val="00B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5D0E-F68C-46AC-B87D-750CBB8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C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5C7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C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nf.usp.br/?post_type=resolucao&amp;p=12843" TargetMode="External"/><Relationship Id="rId5" Type="http://schemas.openxmlformats.org/officeDocument/2006/relationships/hyperlink" Target="http://www.leginf.usp.br/?post_type=resolucao&amp;p=12843" TargetMode="External"/><Relationship Id="rId4" Type="http://schemas.openxmlformats.org/officeDocument/2006/relationships/hyperlink" Target="http://www.leginf.usp.br/?post_type=resolucao&amp;p=1284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1</cp:revision>
  <dcterms:created xsi:type="dcterms:W3CDTF">2021-03-06T18:40:00Z</dcterms:created>
  <dcterms:modified xsi:type="dcterms:W3CDTF">2021-03-06T18:41:00Z</dcterms:modified>
</cp:coreProperties>
</file>