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D4" w:rsidRPr="00A475D4" w:rsidRDefault="00A475D4" w:rsidP="00A475D4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Arial"/>
          <w:color w:val="333333"/>
          <w:sz w:val="20"/>
          <w:szCs w:val="20"/>
          <w:lang w:eastAsia="pt-BR"/>
        </w:rPr>
      </w:pPr>
      <w:bookmarkStart w:id="0" w:name="_GoBack"/>
      <w:r w:rsidRPr="00A475D4">
        <w:rPr>
          <w:rFonts w:ascii="Helvetica" w:eastAsia="Times New Roman" w:hAnsi="Helvetica" w:cs="Arial"/>
          <w:color w:val="333333"/>
          <w:sz w:val="20"/>
          <w:szCs w:val="20"/>
          <w:lang w:eastAsia="pt-BR"/>
        </w:rPr>
        <w:t xml:space="preserve">Relação dos bolsistas contemplados com bolsa </w:t>
      </w:r>
      <w:proofErr w:type="spellStart"/>
      <w:r w:rsidRPr="00A475D4">
        <w:rPr>
          <w:rFonts w:ascii="Helvetica" w:eastAsia="Times New Roman" w:hAnsi="Helvetica" w:cs="Arial"/>
          <w:color w:val="333333"/>
          <w:sz w:val="20"/>
          <w:szCs w:val="20"/>
          <w:lang w:eastAsia="pt-BR"/>
        </w:rPr>
        <w:t>PIBIC|CNPq</w:t>
      </w:r>
      <w:proofErr w:type="spellEnd"/>
    </w:p>
    <w:p w:rsidR="00A475D4" w:rsidRDefault="00A475D4" w:rsidP="00A475D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475D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Período: 01/09/2020 a 31/08/2021</w:t>
      </w:r>
    </w:p>
    <w:tbl>
      <w:tblPr>
        <w:tblW w:w="10941" w:type="dxa"/>
        <w:tblInd w:w="-993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916"/>
        <w:gridCol w:w="3829"/>
        <w:gridCol w:w="2153"/>
        <w:gridCol w:w="3189"/>
      </w:tblGrid>
      <w:tr w:rsidR="00A475D4" w:rsidRPr="00A475D4" w:rsidTr="000863D1">
        <w:trPr>
          <w:trHeight w:val="240"/>
        </w:trPr>
        <w:tc>
          <w:tcPr>
            <w:tcW w:w="856" w:type="dxa"/>
            <w:shd w:val="clear" w:color="auto" w:fill="FEFEFE"/>
            <w:vAlign w:val="center"/>
            <w:hideMark/>
          </w:tcPr>
          <w:bookmarkEnd w:id="0"/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CÓD.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TÍTULO PROJETO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ALUNO(</w:t>
            </w:r>
            <w:proofErr w:type="gramEnd"/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A)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ORIENTADOR(</w:t>
            </w:r>
            <w:proofErr w:type="gramEnd"/>
            <w:r w:rsidRPr="00A475D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A)</w:t>
            </w:r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2132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CONFORTO AMBIENTAL E VIVÊNCIA URBANA DO PEDESTRE: Modelagem Espacial para Análise Climática.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Ketlyn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Caroline Goncalves de Freitas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Alessandra Rodrigues Prata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Shimomura</w:t>
            </w:r>
            <w:proofErr w:type="spellEnd"/>
          </w:p>
        </w:tc>
      </w:tr>
      <w:tr w:rsidR="00A475D4" w:rsidRPr="00A475D4" w:rsidTr="000863D1">
        <w:trPr>
          <w:trHeight w:val="737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2101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HABITAÇÃO E ASSENTAMENTOS HUMANOS E O DESAFIO DA DIVULGAÇÃO CIENTÍFICA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Luccas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Lucena de Paula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Luciana de Oliveira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Royer</w:t>
            </w:r>
            <w:proofErr w:type="spellEnd"/>
          </w:p>
        </w:tc>
      </w:tr>
      <w:tr w:rsidR="00A475D4" w:rsidRPr="00A475D4" w:rsidTr="000863D1">
        <w:trPr>
          <w:trHeight w:val="1203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1923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Reestruturação metropolitana e imobiliária em São Paulo: Os Eixos de Estruturação da Transformação Urbana e os novos produtos imobiliários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tabs>
                <w:tab w:val="left" w:pos="930"/>
              </w:tabs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Isabela Rodrigues dos Santos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Maria Beatriz Cruz Rufino</w:t>
            </w:r>
          </w:p>
        </w:tc>
      </w:tr>
      <w:tr w:rsidR="00A475D4" w:rsidRPr="00A475D4" w:rsidTr="000863D1">
        <w:trPr>
          <w:trHeight w:val="737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1849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PANORAMA DOS FUNDOS DE INVESTIMENTO IMOBILIÁRIO (FII) NO MUNICÍPIO DE SÃO PAULO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Guilherme Mendonca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Sarti</w:t>
            </w:r>
            <w:proofErr w:type="spellEnd"/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Maria Camila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Loffredo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D’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Ottaviano</w:t>
            </w:r>
            <w:proofErr w:type="spellEnd"/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1833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Zonas Especiais de Interesse Social na área central de São Paulo: instrumentos de garantia de direitos ou ameaça à permanência?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Ulisses Alves de Castro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Raquel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Rolnik</w:t>
            </w:r>
            <w:proofErr w:type="spellEnd"/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1820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Habitação no Projeto de Intervenção Urbana Setor Central de São Paulo: estímulos à produção imobiliária ou solução habitacional?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Pedro Del Bel Pires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Paula Freire Santoro</w:t>
            </w:r>
          </w:p>
        </w:tc>
      </w:tr>
      <w:tr w:rsidR="00A475D4" w:rsidRPr="00A475D4" w:rsidTr="000863D1">
        <w:trPr>
          <w:trHeight w:val="977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1790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CONFORTO AMBIENTAL E VIVÊNCIA URBANA DO PEDESTRE: MAPEAMENTO SONORO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Gabriel Vinicius de Souza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Caiafa</w:t>
            </w:r>
            <w:proofErr w:type="spellEnd"/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Ranny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Loureiro Xavier Nascimento Michalski</w:t>
            </w:r>
          </w:p>
        </w:tc>
      </w:tr>
      <w:tr w:rsidR="00A475D4" w:rsidRPr="00A475D4" w:rsidTr="000863D1">
        <w:trPr>
          <w:trHeight w:val="721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1701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Teorias pós-coloniais e museus: as ações do Museu de Arte de São Paulo Assis Chateaubriand – MASP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Júlia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Simmelink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Clemente de Souza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Amanda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Saba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Ruggiero</w:t>
            </w:r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1645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Projeto de arquitetura de Equipamentos Públicos Equipamentos públicos municipais de cultura e metodologias de projeto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Pedro Henrique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Agnello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Valenzuela</w:t>
            </w:r>
            <w:proofErr w:type="spellEnd"/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Alexandre Carlos Penha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Delijaicov</w:t>
            </w:r>
            <w:proofErr w:type="spellEnd"/>
          </w:p>
        </w:tc>
      </w:tr>
      <w:tr w:rsidR="00A475D4" w:rsidRPr="00A475D4" w:rsidTr="000863D1">
        <w:trPr>
          <w:trHeight w:val="737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1630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O repertório tipográfico utilizado pelo impressor paulistano Jorge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Seckler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em seu almanaque para o ano de 1890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Heitor Moreira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Massola</w:t>
            </w:r>
            <w:proofErr w:type="spellEnd"/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Priscila Lena Farias</w:t>
            </w:r>
          </w:p>
        </w:tc>
      </w:tr>
      <w:tr w:rsidR="00A475D4" w:rsidRPr="00A475D4" w:rsidTr="000863D1">
        <w:trPr>
          <w:trHeight w:val="1203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975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Os sistemas de espaços livres na transformação contemporânea da paisagem: espaços públicos no eixo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macrometropolitano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São Paulo-Campinas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Maria de Fatima da Silva Rosado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Eugênio Fernandes Queiroga</w:t>
            </w:r>
          </w:p>
        </w:tc>
      </w:tr>
      <w:tr w:rsidR="00A475D4" w:rsidRPr="00A475D4" w:rsidTr="000863D1">
        <w:trPr>
          <w:trHeight w:val="977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948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SIGs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Históricos e Humanidades Digitais nos estudos de urbanização: o caso do Escritório Ramos de Azevedo, Severo &amp; Villares em São Paulo.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Matheus Pereira Cardoso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Beatriz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Piccolotto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Siqueira Bueno</w:t>
            </w:r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740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Chão, arquitetura e territorialidade: transplantes culturais no ciclo arquitetônico entre Portugal, Brasil e África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Marina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Gaido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Cortopassi</w:t>
            </w:r>
            <w:proofErr w:type="spellEnd"/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Guilherme Teixeira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Wisnik</w:t>
            </w:r>
            <w:proofErr w:type="spellEnd"/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692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MEMÓRIA DA DITADURA NO CONJUNTO RESIDENCIAL DA USP (1963-1968): A EXPOSIÇÃO DE MATERIAL SUBVERSIVO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Gustavo Aires Tiago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Giselle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Beiguelman</w:t>
            </w:r>
            <w:proofErr w:type="spellEnd"/>
          </w:p>
        </w:tc>
      </w:tr>
      <w:tr w:rsidR="00A475D4" w:rsidRPr="00A475D4" w:rsidTr="000863D1">
        <w:trPr>
          <w:trHeight w:val="962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681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Conforto Térmico Percebido no Interior de Unidades Habitacionais: um estudo a partir de mapeamentos de temperatura de superfície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Vivian Siqueira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Madi</w:t>
            </w:r>
            <w:proofErr w:type="spellEnd"/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Denise Helena Silva Duarte</w:t>
            </w:r>
          </w:p>
        </w:tc>
      </w:tr>
      <w:tr w:rsidR="00A475D4" w:rsidRPr="00A475D4" w:rsidTr="000863D1">
        <w:trPr>
          <w:trHeight w:val="737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671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Por uma nova cartografia da sociedade em rede no Brasil: questões de urbanização contemporânea.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Daniel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Cruciol</w:t>
            </w:r>
            <w:proofErr w:type="spellEnd"/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Nestor Goulart Reis Filho</w:t>
            </w:r>
          </w:p>
        </w:tc>
      </w:tr>
      <w:tr w:rsidR="00A475D4" w:rsidRPr="00A475D4" w:rsidTr="000863D1">
        <w:trPr>
          <w:trHeight w:val="721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524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O Uso de Inteligências Artificiais na Interpretação de Narrativas Visuais –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Marielle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Franco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Vinicius Ariel Arruda dos Santos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Bruno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Seravali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Moreschi</w:t>
            </w:r>
            <w:proofErr w:type="spellEnd"/>
          </w:p>
        </w:tc>
      </w:tr>
      <w:tr w:rsidR="00A475D4" w:rsidRPr="00A475D4" w:rsidTr="000863D1">
        <w:trPr>
          <w:trHeight w:val="1459"/>
        </w:trPr>
        <w:tc>
          <w:tcPr>
            <w:tcW w:w="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478</w:t>
            </w:r>
          </w:p>
        </w:tc>
        <w:tc>
          <w:tcPr>
            <w:tcW w:w="385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Desenvolvimento de roteiro digital de walkthrough com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checklist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para espaços museológicos por meio das interfaces entre Avaliação Pós Ocupação e Metodologia Ergonômica de Avaliação do Ambiente Construído</w:t>
            </w:r>
          </w:p>
        </w:tc>
        <w:tc>
          <w:tcPr>
            <w:tcW w:w="216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Elisabeth Yang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Nan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Fu</w:t>
            </w:r>
          </w:p>
        </w:tc>
        <w:tc>
          <w:tcPr>
            <w:tcW w:w="3146" w:type="dxa"/>
            <w:shd w:val="clear" w:color="auto" w:fill="FEFEFE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Sheila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Walbe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Ornstein</w:t>
            </w:r>
            <w:proofErr w:type="spellEnd"/>
          </w:p>
        </w:tc>
      </w:tr>
      <w:tr w:rsidR="00A475D4" w:rsidRPr="00A475D4" w:rsidTr="000863D1">
        <w:trPr>
          <w:trHeight w:val="721"/>
        </w:trPr>
        <w:tc>
          <w:tcPr>
            <w:tcW w:w="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2020</w:t>
            </w:r>
          </w:p>
        </w:tc>
        <w:tc>
          <w:tcPr>
            <w:tcW w:w="917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372</w:t>
            </w:r>
          </w:p>
        </w:tc>
        <w:tc>
          <w:tcPr>
            <w:tcW w:w="385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O repertório tipográfico da revista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Album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Imperial, impressa pela Tipografia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Hennies</w:t>
            </w:r>
            <w:proofErr w:type="spellEnd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(1906-1908)</w:t>
            </w:r>
          </w:p>
        </w:tc>
        <w:tc>
          <w:tcPr>
            <w:tcW w:w="216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Thais Fernandes Rosa</w:t>
            </w:r>
          </w:p>
        </w:tc>
        <w:tc>
          <w:tcPr>
            <w:tcW w:w="3146" w:type="dxa"/>
            <w:shd w:val="clear" w:color="auto" w:fill="F1F1F1"/>
            <w:vAlign w:val="center"/>
            <w:hideMark/>
          </w:tcPr>
          <w:p w:rsidR="00A475D4" w:rsidRPr="00A475D4" w:rsidRDefault="00A475D4" w:rsidP="000863D1">
            <w:pPr>
              <w:spacing w:after="0" w:line="240" w:lineRule="auto"/>
              <w:ind w:left="126" w:right="1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Jade Samara </w:t>
            </w:r>
            <w:proofErr w:type="spellStart"/>
            <w:r w:rsidRPr="00A475D4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Piaia</w:t>
            </w:r>
            <w:proofErr w:type="spellEnd"/>
          </w:p>
        </w:tc>
      </w:tr>
    </w:tbl>
    <w:p w:rsidR="00A475D4" w:rsidRDefault="00A475D4" w:rsidP="00A475D4">
      <w:pPr>
        <w:ind w:left="284"/>
      </w:pPr>
    </w:p>
    <w:p w:rsidR="00A475D4" w:rsidRDefault="00A475D4" w:rsidP="00A475D4">
      <w:pPr>
        <w:ind w:left="284"/>
      </w:pPr>
    </w:p>
    <w:p w:rsidR="00A475D4" w:rsidRDefault="00A475D4" w:rsidP="00A475D4">
      <w:pPr>
        <w:ind w:left="284"/>
      </w:pPr>
    </w:p>
    <w:p w:rsidR="00A475D4" w:rsidRPr="00A475D4" w:rsidRDefault="00A475D4" w:rsidP="00A475D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475D4" w:rsidRDefault="00A475D4">
      <w:pPr>
        <w:ind w:left="284"/>
      </w:pPr>
    </w:p>
    <w:sectPr w:rsidR="00A475D4" w:rsidSect="00A475D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4"/>
    <w:rsid w:val="00A475D4"/>
    <w:rsid w:val="00A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42AA-3D98-4966-BA14-82B42723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47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75D4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A475D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1</cp:revision>
  <dcterms:created xsi:type="dcterms:W3CDTF">2021-05-09T02:09:00Z</dcterms:created>
  <dcterms:modified xsi:type="dcterms:W3CDTF">2021-05-09T02:17:00Z</dcterms:modified>
</cp:coreProperties>
</file>